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160"/>
      </w:pPr>
      <w:r>
        <w:rPr>
          <w:rFonts w:ascii="Arial" w:cs="Arial" w:eastAsia="Arial" w:hAnsi="Arial"/>
          <w:b/>
          <w:bCs/>
          <w:color w:val="FFFFFF"/>
          <w:sz w:val="15"/>
          <w:szCs w:val="15"/>
        </w:rPr>
        <w:t xml:space="preserve">J.P. MORGAN STYLE REPLICATION — ILLUSTRATIVE NOTE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Equity Research</w:t>
      </w:r>
      <w:r>
        <w:rPr>
          <w:rFonts w:ascii="Arial" w:cs="Arial" w:eastAsia="Arial" w:hAnsi="Arial"/>
          <w:color w:val="595959"/>
          <w:sz w:val="20"/>
          <w:szCs w:val="20"/>
        </w:rPr>
        <w:t xml:space="preserve">   |   Asia Pacific Equity Research</w:t>
      </w:r>
      <w:r>
        <w:rPr>
          <w:rFonts w:ascii="Arial" w:cs="Arial" w:eastAsia="Arial" w:hAnsi="Arial"/>
          <w:color w:val="595959"/>
          <w:sz w:val="20"/>
          <w:szCs w:val="20"/>
        </w:rPr>
        <w:t xml:space="preserve">   |   28 August 2026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11111"/>
          <w:sz w:val="30"/>
          <w:szCs w:val="30"/>
        </w:rPr>
        <w:t xml:space="preserve">Nestlé India Ltd. (NESTLEIND.NS)</w:t>
      </w:r>
      <w:r>
        <w:rPr>
          <w:rFonts w:ascii="Arial" w:cs="Arial" w:eastAsia="Arial" w:hAnsi="Arial"/>
          <w:color w:val="595959"/>
          <w:sz w:val="20"/>
          <w:szCs w:val="20"/>
        </w:rPr>
        <w:t xml:space="preserve">    Consumer Staples — Packaged Foods — India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1F3864"/>
          <w:sz w:val="23"/>
          <w:szCs w:val="23"/>
        </w:rPr>
        <w:t xml:space="preserve">Priced for perfection at 73x: mid-single-digit reality meets mid-twenties multiple</w:t>
      </w:r>
    </w:p>
    <w:tbl>
      <w:tblPr>
        <w:tblW w:type="pct" w:w="100%"/>
        <w:tblBorders>
          <w:top w:val="single" w:color="1F3864" w:sz="12"/>
          <w:left w:val="none" w:color="FFFFFF" w:sz="0"/>
          <w:bottom w:val="single" w:color="1F3864" w:sz="12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5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11111"/>
                <w:sz w:val="22"/>
                <w:szCs w:val="22"/>
              </w:rPr>
              <w:t xml:space="preserve">Rating: </w:t>
            </w:r>
            <w:r>
              <w:rPr>
                <w:rFonts w:ascii="Arial" w:cs="Arial" w:eastAsia="Arial" w:hAnsi="Arial"/>
                <w:b/>
                <w:bCs/>
                <w:color w:val="A61C1C"/>
                <w:sz w:val="22"/>
                <w:szCs w:val="22"/>
              </w:rPr>
              <w:t xml:space="preserve">UNDERWEIGHT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Dec-2027 price target: </w:t>
            </w:r>
            <w:r>
              <w:rPr>
                <w:rFonts w:ascii="Arial" w:cs="Arial" w:eastAsia="Arial" w:hAnsi="Arial"/>
                <w:b/>
                <w:bCs/>
                <w:color w:val="111111"/>
                <w:sz w:val="21"/>
                <w:szCs w:val="21"/>
              </w:rPr>
              <w:t xml:space="preserve">Rs 1,150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Implied downside: </w:t>
            </w:r>
            <w:r>
              <w:rPr>
                <w:rFonts w:ascii="Arial" w:cs="Arial" w:eastAsia="Arial" w:hAnsi="Arial"/>
                <w:b/>
                <w:bCs/>
                <w:color w:val="A61C1C"/>
                <w:sz w:val="18"/>
                <w:szCs w:val="18"/>
              </w:rPr>
              <w:t xml:space="preserve">-20.6%</w:t>
            </w:r>
          </w:p>
        </w:tc>
        <w:tc>
          <w:tcPr>
            <w:tcW w:type="pct" w:w="45%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color w:val="595959"/>
                <w:sz w:val="17"/>
                <w:szCs w:val="17"/>
              </w:rPr>
              <w:t xml:space="preserve">Current price (Aug 27, 2026): </w:t>
            </w:r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Rs 1,449.00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color w:val="595959"/>
                <w:sz w:val="17"/>
                <w:szCs w:val="17"/>
              </w:rPr>
              <w:t xml:space="preserve">52-week range: </w:t>
            </w:r>
            <w:r>
              <w:rPr>
                <w:rFonts w:ascii="Arial" w:cs="Arial" w:eastAsia="Arial" w:hAnsi="Arial"/>
                <w:color w:val="111111"/>
                <w:sz w:val="17"/>
                <w:szCs w:val="17"/>
              </w:rPr>
              <w:t xml:space="preserve">Rs 1,145 – 1,553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color w:val="595959"/>
                <w:sz w:val="17"/>
                <w:szCs w:val="17"/>
              </w:rPr>
              <w:t xml:space="preserve">Market cap: </w:t>
            </w:r>
            <w:r>
              <w:rPr>
                <w:rFonts w:ascii="Arial" w:cs="Arial" w:eastAsia="Arial" w:hAnsi="Arial"/>
                <w:color w:val="111111"/>
                <w:sz w:val="17"/>
                <w:szCs w:val="17"/>
              </w:rPr>
              <w:t xml:space="preserve">Rs 2.80 trn (~US$32 bn)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color w:val="595959"/>
                <w:sz w:val="17"/>
                <w:szCs w:val="17"/>
              </w:rPr>
              <w:t xml:space="preserve">1-yr return: </w:t>
            </w:r>
            <w:r>
              <w:rPr>
                <w:rFonts w:ascii="Arial" w:cs="Arial" w:eastAsia="Arial" w:hAnsi="Arial"/>
                <w:color w:val="111111"/>
                <w:sz w:val="17"/>
                <w:szCs w:val="17"/>
              </w:rPr>
              <w:t xml:space="preserve">+24.7%  |  Beta 0.43</w:t>
            </w:r>
          </w:p>
        </w:tc>
      </w:tr>
    </w:tbl>
    <w:p>
      <w:pPr>
        <w:spacing w:after="200" w:before="40"/>
      </w:pPr>
      <w:r>
        <w:rPr>
          <w:rFonts w:ascii="Arial" w:cs="Arial" w:eastAsia="Arial" w:hAnsi="Arial"/>
          <w:i/>
          <w:iCs/>
          <w:color w:val="595959"/>
          <w:sz w:val="14"/>
          <w:szCs w:val="14"/>
        </w:rPr>
        <w:t xml:space="preserve">Source: S&amp;P Global Market Intelligence, Screener.in. Consolidated financials, April–March fiscal year. Disclaimer on page 2 — this is an illustrative exercise, not a J.P. Morgan publication.</w:t>
      </w:r>
    </w:p>
    <w:p>
      <w:pPr>
        <w:pBdr>
          <w:bottom w:val="single" w:color="1F3864" w:sz="6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Investment Thesis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F3864"/>
          <w:sz w:val="19"/>
          <w:szCs w:val="19"/>
        </w:rPr>
        <w:t xml:space="preserve">Our view: A world-class franchise trading at a valuation that leaves no room for the ordinary.</w:t>
      </w:r>
    </w:p>
    <w:p>
      <w:pPr>
        <w:spacing w:after="120"/>
      </w:pPr>
      <w:r>
        <w:rPr>
          <w:rFonts w:ascii="Arial" w:cs="Arial" w:eastAsia="Arial" w:hAnsi="Arial"/>
          <w:color w:val="111111"/>
          <w:sz w:val="18"/>
          <w:szCs w:val="18"/>
        </w:rPr>
        <w:t xml:space="preserve">Nestlé India is the highest-quality packaged-food franchise in India: Maggi, Nescafé and KitKat are category leaders, ROE exceeds 70%, the balance sheet is effectively unlevered, and the 62.76% Nestlé S.A. parent stake anchors strategic focus. Our underweight call is not a call on the business — it is a call on the price. At Rs 1,449 the stock trades at 73x trailing and ~67x FY27E consensus EPS for a company whose EPS compounded at just 10% annually over FY22–FY26 and whose operating margin fell ~180bps in the very year revenue grew 14.7%. We see a widening gap between the earnings power being capitalized and the earnings being delivered.</w:t>
      </w:r>
    </w:p>
    <w:p>
      <w:pPr>
        <w:spacing w:after="120"/>
      </w:pPr>
      <w:r>
        <w:rPr>
          <w:rFonts w:ascii="Arial" w:cs="Arial" w:eastAsia="Arial" w:hAnsi="Arial"/>
          <w:color w:val="111111"/>
          <w:sz w:val="18"/>
          <w:szCs w:val="18"/>
        </w:rPr>
        <w:t xml:space="preserve">Five pillars underpin our below-consensus stance: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rial" w:cs="Arial" w:eastAsia="Arial" w:hAnsi="Arial"/>
          <w:b/>
          <w:bCs/>
          <w:color w:val="111111"/>
          <w:sz w:val="18"/>
          <w:szCs w:val="18"/>
        </w:rPr>
        <w:t xml:space="preserve">Valuation is extreme relative to delivered growth. </w:t>
      </w:r>
      <w:r>
        <w:rPr>
          <w:rFonts w:ascii="Arial" w:cs="Arial" w:eastAsia="Arial" w:hAnsi="Arial"/>
          <w:color w:val="111111"/>
          <w:sz w:val="18"/>
          <w:szCs w:val="18"/>
        </w:rPr>
        <w:t xml:space="preserve">FY26 EPS of Rs 18.15 grew just 9.1% on 14.7% revenue growth — margin, not demand, is the constraint. The dividend yield of 0.95% sits 4.3pp below the 5.25% policy rate, and the TTM FCF yield is ~1.5%. Even on consensus numbers, the FY26–28E PEG is ~3.8x.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rial" w:cs="Arial" w:eastAsia="Arial" w:hAnsi="Arial"/>
          <w:b/>
          <w:bCs/>
          <w:color w:val="111111"/>
          <w:sz w:val="18"/>
          <w:szCs w:val="18"/>
        </w:rPr>
        <w:t xml:space="preserve">Margins are compressing into input-cost inflation. </w:t>
      </w:r>
      <w:r>
        <w:rPr>
          <w:rFonts w:ascii="Arial" w:cs="Arial" w:eastAsia="Arial" w:hAnsi="Arial"/>
          <w:color w:val="111111"/>
          <w:sz w:val="18"/>
          <w:szCs w:val="18"/>
        </w:rPr>
        <w:t xml:space="preserve">Operating margin peaked at 21.6% in FY24 and fell to 19.8% in FY26. Producer-price inflation printed 9.6% in July 2026 (vs CPI at 4.45%); coffee, cocoa and milk cost curves remain elevated, and we expect the company to absorb rather than fully price through near-term cost pressure.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rial" w:cs="Arial" w:eastAsia="Arial" w:hAnsi="Arial"/>
          <w:b/>
          <w:bCs/>
          <w:color w:val="111111"/>
          <w:sz w:val="18"/>
          <w:szCs w:val="18"/>
        </w:rPr>
        <w:t xml:space="preserve">The FY26 growth re-acceleration is lower-quality than it appears. </w:t>
      </w:r>
      <w:r>
        <w:rPr>
          <w:rFonts w:ascii="Arial" w:cs="Arial" w:eastAsia="Arial" w:hAnsi="Arial"/>
          <w:color w:val="111111"/>
          <w:sz w:val="18"/>
          <w:szCs w:val="18"/>
        </w:rPr>
        <w:t xml:space="preserve">Revenue growth was just 2–3% in FY24–FY25; the +14.7% FY26 print is heavily pricing-led, and the +48% Q1FY27 profit growth is against a depressed Q1FY26 base (OPM 21% vs the 25% exit rate of Q4FY25). Sequential momentum already decelerated in Q1FY27 (OPM 24% vs 26% in Q4FY26, revenue -6.4% q/q).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rial" w:cs="Arial" w:eastAsia="Arial" w:hAnsi="Arial"/>
          <w:b/>
          <w:bCs/>
          <w:color w:val="111111"/>
          <w:sz w:val="18"/>
          <w:szCs w:val="18"/>
        </w:rPr>
        <w:t xml:space="preserve">The dividend cut is a signal, not noise. </w:t>
      </w:r>
      <w:r>
        <w:rPr>
          <w:rFonts w:ascii="Arial" w:cs="Arial" w:eastAsia="Arial" w:hAnsi="Arial"/>
          <w:color w:val="111111"/>
          <w:sz w:val="18"/>
          <w:szCs w:val="18"/>
        </w:rPr>
        <w:t xml:space="preserve">FY26 DPS was cut 11% to Rs 12.00 while the company funds an elevated capex cycle (Rs 20.1bn capex in FY25; new Munch line at Sanand). Cash returns to minorities are being subordinated to capacity build precisely as returns on incremental capital come under question.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rial" w:cs="Arial" w:eastAsia="Arial" w:hAnsi="Arial"/>
          <w:b/>
          <w:bCs/>
          <w:color w:val="111111"/>
          <w:sz w:val="18"/>
          <w:szCs w:val="18"/>
        </w:rPr>
        <w:t xml:space="preserve">Ownership momentum is fading. </w:t>
      </w:r>
      <w:r>
        <w:rPr>
          <w:rFonts w:ascii="Arial" w:cs="Arial" w:eastAsia="Arial" w:hAnsi="Arial"/>
          <w:color w:val="111111"/>
          <w:sz w:val="18"/>
          <w:szCs w:val="18"/>
        </w:rPr>
        <w:t xml:space="preserve">FII holding fell from 12.1% to 9.7–10.3% through FY26 even as the stock re-rated ~25%. A beta of 0.43 and a 73x multiple leave the stock acutely vulnerable to rotation out of defensives in a market near record highs.</w:t>
      </w:r>
    </w:p>
    <w:p>
      <w:pPr>
        <w:spacing w:after="120"/>
      </w:pPr>
      <w:r>
        <w:rPr>
          <w:rFonts w:ascii="Arial" w:cs="Arial" w:eastAsia="Arial" w:hAnsi="Arial"/>
          <w:color w:val="111111"/>
          <w:sz w:val="18"/>
          <w:szCs w:val="18"/>
        </w:rPr>
        <w:t xml:space="preserve">We are ~4% below consensus revenue and 10–13% below consensus EPS for FY27E–FY28E. </w:t>
      </w:r>
      <w:r>
        <w:rPr>
          <w:rFonts w:ascii="Arial" w:cs="Arial" w:eastAsia="Arial" w:hAnsi="Arial"/>
          <w:b/>
          <w:bCs/>
          <w:color w:val="111111"/>
          <w:sz w:val="18"/>
          <w:szCs w:val="18"/>
        </w:rPr>
        <w:t xml:space="preserve">Our Rs 1,150 target ascribes 53x FY28E EPS of Rs 21.50 — a ~20% multiple de-rating that still prices Nestlé India at a premium to Indian staples peers.</w:t>
      </w:r>
    </w:p>
    <w:p>
      <w:pPr>
        <w:pBdr>
          <w:bottom w:val="single" w:color="1F3864" w:sz="6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Where We Differ From Consensus</w:t>
      </w:r>
    </w:p>
    <w:p>
      <w:pPr>
        <w:spacing w:after="120"/>
      </w:pPr>
      <w:r>
        <w:rPr>
          <w:rFonts w:ascii="Arial" w:cs="Arial" w:eastAsia="Arial" w:hAnsi="Arial"/>
          <w:color w:val="111111"/>
          <w:sz w:val="18"/>
          <w:szCs w:val="18"/>
        </w:rPr>
        <w:t xml:space="preserve">Street consensus (36 analysts: 9 Strong Buy / 10 Buy / 12 Hold / 4 Sell / 1 Strong Sell) embeds a +16% FY27E revenue acceleration and a +20% EPS rebound. We model deceleration on both lines as pricing laps, input costs bite, and the base effect in H1 fades.</w:t>
      </w:r>
    </w:p>
    <w:tbl>
      <w:tblPr>
        <w:tblW w:type="pct" w:w="100%"/>
        <w:tblBorders>
          <w:top w:val="single" w:color="BFBFBF" w:sz="2"/>
          <w:left w:val="none" w:color="FFFFFF" w:sz="0"/>
          <w:bottom w:val="single" w:color="BFBFBF" w:sz="2"/>
          <w:right w:val="none" w:color="FFFFFF" w:sz="0"/>
          <w:insideH w:val="single" w:color="BFBFBF" w:sz="2"/>
          <w:insideV w:val="none" w:color="FFFFFF" w:sz="0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8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Metric</w:t>
            </w:r>
          </w:p>
        </w:tc>
        <w:tc>
          <w:tcPr>
            <w:tcW w:type="pct" w:w="14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FY26A</w:t>
            </w:r>
          </w:p>
        </w:tc>
        <w:tc>
          <w:tcPr>
            <w:tcW w:type="pct" w:w="14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FY27E Cons.</w:t>
            </w:r>
          </w:p>
        </w:tc>
        <w:tc>
          <w:tcPr>
            <w:tcW w:type="pct" w:w="15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FY27E JPM-UW</w:t>
            </w:r>
          </w:p>
        </w:tc>
        <w:tc>
          <w:tcPr>
            <w:tcW w:type="pct" w:w="14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FY28E Cons.</w:t>
            </w:r>
          </w:p>
        </w:tc>
        <w:tc>
          <w:tcPr>
            <w:tcW w:type="pct" w:w="15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FY28E JPM-UW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Revenue (Rs bn)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231.1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268.6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259.0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300.0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283.5</w:t>
            </w:r>
          </w:p>
        </w:tc>
      </w:tr>
      <w:tr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  growth y/y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+14.7%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+16.2%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+12.0%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+11.7%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+9.5%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Operating margin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19.8%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21.1%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19.4%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21.0%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19.6%</w:t>
            </w:r>
          </w:p>
        </w:tc>
      </w:tr>
      <w:tr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EPS (Rs)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18.15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21.53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19.40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24.83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21.50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  growth y/y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+9.1%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+20.3%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+6.9%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+15.3%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+10.8%</w:t>
            </w:r>
          </w:p>
        </w:tc>
      </w:tr>
      <w:tr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P/E (x) @ Rs 1,449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79.8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67.3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74.7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58.4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67.4</w:t>
            </w:r>
          </w:p>
        </w:tc>
      </w:tr>
    </w:tbl>
    <w:p>
      <w:pPr>
        <w:spacing w:after="200" w:before="40"/>
      </w:pPr>
      <w:r>
        <w:rPr>
          <w:rFonts w:ascii="Arial" w:cs="Arial" w:eastAsia="Arial" w:hAnsi="Arial"/>
          <w:i/>
          <w:iCs/>
          <w:color w:val="595959"/>
          <w:sz w:val="14"/>
          <w:szCs w:val="14"/>
        </w:rPr>
        <w:t xml:space="preserve">FY26 actual per S&amp;P Global (GAAP); FY27E–FY28E consensus per S&amp;P Global (35–36 analysts, non-GAAP adj. EPS base). 'JPM-UW' = illustrative below-consensus estimates for this exercise.</w:t>
      </w:r>
    </w:p>
    <w:p>
      <w:pPr>
        <w:pBdr>
          <w:bottom w:val="single" w:color="1F3864" w:sz="6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Valuation: Derivation of Rs 1,150 Price Target</w:t>
      </w:r>
    </w:p>
    <w:p>
      <w:pPr>
        <w:spacing w:after="120"/>
      </w:pPr>
      <w:r>
        <w:rPr>
          <w:rFonts w:ascii="Arial" w:cs="Arial" w:eastAsia="Arial" w:hAnsi="Arial"/>
          <w:color w:val="111111"/>
          <w:sz w:val="18"/>
          <w:szCs w:val="18"/>
        </w:rPr>
        <w:t xml:space="preserve">We value Nestlé India on a 12-month forward multiple anchored to FY28E earnings. Applying 53x to our FY28E EPS of Rs 21.50 yields Rs 1,140, rounded to Rs 1,150 (we add ~Rs 5/share for net cash). Our multiple is a ~20% de-rating from the current 67x FY28E and the low end of the stock's 5-year 65–85x trailing range — a deliberately conservative landing point that still respects brand equity, parent support and the scarcity value of listed Nestlé exposure in India.</w:t>
      </w:r>
    </w:p>
    <w:p>
      <w:pPr>
        <w:spacing w:after="120"/>
      </w:pPr>
      <w:r>
        <w:rPr>
          <w:rFonts w:ascii="Arial" w:cs="Arial" w:eastAsia="Arial" w:hAnsi="Arial"/>
          <w:color w:val="111111"/>
          <w:sz w:val="18"/>
          <w:szCs w:val="18"/>
        </w:rPr>
        <w:t xml:space="preserve">What breaks the multiple: We believe de-rating requires either (a) visible margin stagnation below 20%, or (b) consensus EPS cuts of 10%+. We forecast both, modestly. Scenario analysis:</w:t>
      </w:r>
    </w:p>
    <w:tbl>
      <w:tblPr>
        <w:tblW w:type="pct" w:w="100%"/>
        <w:tblBorders>
          <w:top w:val="single" w:color="BFBFBF" w:sz="2"/>
          <w:left w:val="none" w:color="FFFFFF" w:sz="0"/>
          <w:bottom w:val="single" w:color="BFBFBF" w:sz="2"/>
          <w:right w:val="none" w:color="FFFFFF" w:sz="0"/>
          <w:insideH w:val="single" w:color="BFBFBF" w:sz="2"/>
          <w:insideV w:val="none" w:color="FFFFFF" w:sz="0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4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Scenario</w:t>
            </w:r>
          </w:p>
        </w:tc>
        <w:tc>
          <w:tcPr>
            <w:tcW w:type="pct" w:w="40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Assumptions</w:t>
            </w:r>
          </w:p>
        </w:tc>
        <w:tc>
          <w:tcPr>
            <w:tcW w:type="pct" w:w="13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Target</w:t>
            </w:r>
          </w:p>
        </w:tc>
        <w:tc>
          <w:tcPr>
            <w:tcW w:type="pct" w:w="13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Implied return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Bull (street view)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Margin recovery to 21%+; EPS CAGR ~18%; re-rating holds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Rs 1,650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+14%</w:t>
            </w:r>
          </w:p>
        </w:tc>
      </w:tr>
      <w:tr>
        <w:tc>
          <w:tcPr>
            <w:shd w:fill="FCE8E8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Base — our call</w:t>
            </w:r>
          </w:p>
        </w:tc>
        <w:tc>
          <w:tcPr>
            <w:shd w:fill="FCE8E8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53x FY28E EPS of Rs 21.50; margins hold ~19.5%</w:t>
            </w:r>
          </w:p>
        </w:tc>
        <w:tc>
          <w:tcPr>
            <w:shd w:fill="FCE8E8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Rs 1,150</w:t>
            </w:r>
          </w:p>
        </w:tc>
        <w:tc>
          <w:tcPr>
            <w:shd w:fill="FCE8E8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A61C1C"/>
                <w:sz w:val="18"/>
                <w:szCs w:val="18"/>
              </w:rPr>
              <w:t xml:space="preserve">-21%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Deep value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40x FY28E EPS; input-cost shock; demand deflation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Rs 860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-41%</w:t>
            </w:r>
          </w:p>
        </w:tc>
      </w:tr>
    </w:tbl>
    <w:p>
      <w:pPr>
        <w:spacing w:after="200" w:before="40"/>
      </w:pPr>
      <w:r>
        <w:rPr>
          <w:rFonts w:ascii="Arial" w:cs="Arial" w:eastAsia="Arial" w:hAnsi="Arial"/>
          <w:i/>
          <w:iCs/>
          <w:color w:val="595959"/>
          <w:sz w:val="14"/>
          <w:szCs w:val="14"/>
        </w:rPr>
        <w:t xml:space="preserve">Street 12-mo price targets (36 analysts): average Rs 1,592 (+9.9%), median Rs 1,598, low Rs 1,350 (-6.8%), high Rs 1,815 (+25.3%). Note: even the street-average target implies less upside than the index's historical drift.</w:t>
      </w:r>
    </w:p>
    <w:p>
      <w:pPr>
        <w:pBdr>
          <w:bottom w:val="single" w:color="1F3864" w:sz="6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Catalysts</w:t>
      </w:r>
    </w:p>
    <w:tbl>
      <w:tblPr>
        <w:tblW w:type="pct" w:w="100%"/>
        <w:tblBorders>
          <w:top w:val="single" w:color="BFBFBF" w:sz="2"/>
          <w:left w:val="none" w:color="FFFFFF" w:sz="0"/>
          <w:bottom w:val="single" w:color="BFBFBF" w:sz="2"/>
          <w:right w:val="none" w:color="FFFFFF" w:sz="0"/>
          <w:insideH w:val="single" w:color="BFBFBF" w:sz="2"/>
          <w:insideV w:val="none" w:color="FFFFFF" w:sz="0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Timing</w:t>
            </w:r>
          </w:p>
        </w:tc>
        <w:tc>
          <w:tcPr>
            <w:tcW w:type="pct" w:w="50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Event</w:t>
            </w:r>
          </w:p>
        </w:tc>
        <w:tc>
          <w:tcPr>
            <w:tcW w:type="pct" w:w="28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Expected impact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Oct 15, 2026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Q2FY27 results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Key test of H1 base effect; q/q margin trajectory</w:t>
            </w:r>
          </w:p>
        </w:tc>
      </w:tr>
      <w:tr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Oct–Dec 2026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Coffee/cocoa/milk contract resets; festive-season pricing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Downside — input inflation vs price increases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Jan 30, 2027 (est.)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Q3FY27 results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Volume-growth disclosure vs +18.6% pricing-aided y/y comp</w:t>
            </w:r>
          </w:p>
        </w:tc>
      </w:tr>
      <w:tr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Rolling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Competitive intensity in noodles/RTD coffee; D2C and premium segments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A&amp;P escalation risk to margins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Rolling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Monthly FMCG volume data; rural demand recovery prints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Two-sided, but bar is set by a 73x multiple</w:t>
            </w:r>
          </w:p>
        </w:tc>
      </w:tr>
    </w:tbl>
    <w:p>
      <w:pPr>
        <w:pBdr>
          <w:bottom w:val="single" w:color="1F3864" w:sz="6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Key Risks to Our Underweight</w:t>
      </w:r>
    </w:p>
    <w:p>
      <w:pPr>
        <w:spacing w:after="120"/>
      </w:pPr>
      <w:r>
        <w:rPr>
          <w:rFonts w:ascii="Arial" w:cs="Arial" w:eastAsia="Arial" w:hAnsi="Arial"/>
          <w:color w:val="111111"/>
          <w:sz w:val="18"/>
          <w:szCs w:val="18"/>
        </w:rPr>
        <w:t xml:space="preserve">Our call has clear, identifiable upside risks — we would revisit on evidence of the following: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rial" w:cs="Arial" w:eastAsia="Arial" w:hAnsi="Arial"/>
          <w:b/>
          <w:bCs/>
          <w:color w:val="111111"/>
          <w:sz w:val="18"/>
          <w:szCs w:val="18"/>
        </w:rPr>
        <w:t xml:space="preserve">Margin inflection: </w:t>
      </w:r>
      <w:r>
        <w:rPr>
          <w:rFonts w:ascii="Arial" w:cs="Arial" w:eastAsia="Arial" w:hAnsi="Arial"/>
          <w:color w:val="111111"/>
          <w:sz w:val="18"/>
          <w:szCs w:val="18"/>
        </w:rPr>
        <w:t xml:space="preserve">commodity relief plus A&amp;P leverage could lift OPM above 21% and validate consensus' +20% FY27E EPS rebound.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rial" w:cs="Arial" w:eastAsia="Arial" w:hAnsi="Arial"/>
          <w:b/>
          <w:bCs/>
          <w:color w:val="111111"/>
          <w:sz w:val="18"/>
          <w:szCs w:val="18"/>
        </w:rPr>
        <w:t xml:space="preserve">Premiumization optionality: </w:t>
      </w:r>
      <w:r>
        <w:rPr>
          <w:rFonts w:ascii="Arial" w:cs="Arial" w:eastAsia="Arial" w:hAnsi="Arial"/>
          <w:color w:val="111111"/>
          <w:sz w:val="18"/>
          <w:szCs w:val="18"/>
        </w:rPr>
        <w:t xml:space="preserve">pet food, RTD coffee and premium confectionery are growing ahead of the company average and could structurally lift mix and margin.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rial" w:cs="Arial" w:eastAsia="Arial" w:hAnsi="Arial"/>
          <w:b/>
          <w:bCs/>
          <w:color w:val="111111"/>
          <w:sz w:val="18"/>
          <w:szCs w:val="18"/>
        </w:rPr>
        <w:t xml:space="preserve">Parent support: </w:t>
      </w:r>
      <w:r>
        <w:rPr>
          <w:rFonts w:ascii="Arial" w:cs="Arial" w:eastAsia="Arial" w:hAnsi="Arial"/>
          <w:color w:val="111111"/>
          <w:sz w:val="18"/>
          <w:szCs w:val="18"/>
        </w:rPr>
        <w:t xml:space="preserve">the 62.76% Nestlé S.A. stake could support the stock via buybacks or increased strategic investment, flooring the downside.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rial" w:cs="Arial" w:eastAsia="Arial" w:hAnsi="Arial"/>
          <w:b/>
          <w:bCs/>
          <w:color w:val="111111"/>
          <w:sz w:val="18"/>
          <w:szCs w:val="18"/>
        </w:rPr>
        <w:t xml:space="preserve">Flow support: </w:t>
      </w:r>
      <w:r>
        <w:rPr>
          <w:rFonts w:ascii="Arial" w:cs="Arial" w:eastAsia="Arial" w:hAnsi="Arial"/>
          <w:color w:val="111111"/>
          <w:sz w:val="18"/>
          <w:szCs w:val="18"/>
        </w:rPr>
        <w:t xml:space="preserve">DII ownership has risen to 11.9%; continued domestic-flow sponsorship of defensives can sustain an expensive multiple longer than fundamentals justify.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Arial" w:cs="Arial" w:eastAsia="Arial" w:hAnsi="Arial"/>
          <w:b/>
          <w:bCs/>
          <w:color w:val="111111"/>
          <w:sz w:val="18"/>
          <w:szCs w:val="18"/>
        </w:rPr>
        <w:t xml:space="preserve">Macro: </w:t>
      </w:r>
      <w:r>
        <w:rPr>
          <w:rFonts w:ascii="Arial" w:cs="Arial" w:eastAsia="Arial" w:hAnsi="Arial"/>
          <w:color w:val="111111"/>
          <w:sz w:val="18"/>
          <w:szCs w:val="18"/>
        </w:rPr>
        <w:t xml:space="preserve">India GDP grew 7.8% y/y in Q1 2026 — a robust demand backdrop could reignite volume growth and pricing power simultaneously.</w:t>
      </w:r>
    </w:p>
    <w:p>
      <w:pPr>
        <w:pBdr>
          <w:bottom w:val="single" w:color="1F3864" w:sz="6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Macro Backdrop: Supportive Demand, Hostile Costs</w:t>
      </w:r>
    </w:p>
    <w:p>
      <w:pPr>
        <w:spacing w:after="120"/>
      </w:pPr>
      <w:r>
        <w:rPr>
          <w:rFonts w:ascii="Arial" w:cs="Arial" w:eastAsia="Arial" w:hAnsi="Arial"/>
          <w:color w:val="111111"/>
          <w:sz w:val="18"/>
          <w:szCs w:val="18"/>
        </w:rPr>
        <w:t xml:space="preserve">India's macro demand picture remains strong — GDP grew 7.8% y/y in the March 2026 quarter and manufacturing PMI holds at 52.9 — but the mix is unfavourable for a pricing-led staples story. CPI inflation of 4.45% coexists with 9.6% producer-price inflation, squeezing FMCG gross margins from both sides. Consumer confidence has slipped to 88.3 from 90.7, retail sales growth is a modest 5%, and the RBI's 5.25% repo rate keeps the yield on the stock's 0.95% dividend deeply uncompetitive. A strong rupee equity market and record index levels compound the relative-value problem: money is chasing growth and cyclicals, and 0.43-beta defensives at 73x are the first line item trimmed.</w:t>
      </w:r>
    </w:p>
    <w:p>
      <w:pPr>
        <w:pBdr>
          <w:bottom w:val="single" w:color="1F3864" w:sz="6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Financial Summary</w:t>
      </w:r>
    </w:p>
    <w:tbl>
      <w:tblPr>
        <w:tblW w:type="pct" w:w="100%"/>
        <w:tblBorders>
          <w:top w:val="single" w:color="BFBFBF" w:sz="2"/>
          <w:left w:val="none" w:color="FFFFFF" w:sz="0"/>
          <w:bottom w:val="single" w:color="BFBFBF" w:sz="2"/>
          <w:right w:val="none" w:color="FFFFFF" w:sz="0"/>
          <w:insideH w:val="single" w:color="BFBFBF" w:sz="2"/>
          <w:insideV w:val="none" w:color="FFFFFF" w:sz="0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Rs bn unless stated</w:t>
            </w:r>
          </w:p>
        </w:tc>
        <w:tc>
          <w:tcPr>
            <w:tcW w:type="pct" w:w="11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FY22A</w:t>
            </w:r>
          </w:p>
        </w:tc>
        <w:tc>
          <w:tcPr>
            <w:tcW w:type="pct" w:w="11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FY23A</w:t>
            </w:r>
          </w:p>
        </w:tc>
        <w:tc>
          <w:tcPr>
            <w:tcW w:type="pct" w:w="11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FY24A</w:t>
            </w:r>
          </w:p>
        </w:tc>
        <w:tc>
          <w:tcPr>
            <w:tcW w:type="pct" w:w="11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FY25A</w:t>
            </w:r>
          </w:p>
        </w:tc>
        <w:tc>
          <w:tcPr>
            <w:tcW w:type="pct" w:w="11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FY26A</w:t>
            </w:r>
          </w:p>
        </w:tc>
        <w:tc>
          <w:tcPr>
            <w:tcW w:type="pct" w:w="11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FY27E</w:t>
            </w:r>
          </w:p>
        </w:tc>
        <w:tc>
          <w:tcPr>
            <w:tcW w:type="pct" w:w="11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FY28E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Revenue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168.6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191.3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195.1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201.5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231.1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268.6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300.0</w:t>
            </w:r>
          </w:p>
        </w:tc>
      </w:tr>
      <w:tr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  growth y/y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+14.6%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+13.5%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+2.0%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+3.3%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+14.7%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+16.2%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+11.7%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Gross margin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53.3%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55.9%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55.7%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55.9%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54.6%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56.3%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55.7%</w:t>
            </w:r>
          </w:p>
        </w:tc>
      </w:tr>
      <w:tr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Operating profit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32.9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40.8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42.2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42.0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45.8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56.8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63.0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  margin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19.5%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21.3%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21.6%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20.9%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19.8%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21.1%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21.0%</w:t>
            </w:r>
          </w:p>
        </w:tc>
      </w:tr>
      <w:tr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Net income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23.9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30.0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32.0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32.1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35.0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41.6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48.0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EPS (Rs)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12.39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15.55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16.57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16.63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18.15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21.53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24.83</w:t>
            </w:r>
          </w:p>
        </w:tc>
      </w:tr>
      <w:tr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DPS (Rs)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11.00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11.85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12.88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13.50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12.00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16.44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18.63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P/E (x) @ Rs 1,449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117.0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93.2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87.4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87.1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79.8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67.3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58.4</w:t>
            </w:r>
          </w:p>
        </w:tc>
      </w:tr>
      <w:tr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Free cash flow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21.9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20.2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18.3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9.3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42.2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42.4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46.5</w:t>
            </w:r>
          </w:p>
        </w:tc>
      </w:tr>
    </w:tbl>
    <w:p>
      <w:pPr>
        <w:spacing w:after="200" w:before="40"/>
      </w:pPr>
      <w:r>
        <w:rPr>
          <w:rFonts w:ascii="Arial" w:cs="Arial" w:eastAsia="Arial" w:hAnsi="Arial"/>
          <w:i/>
          <w:iCs/>
          <w:color w:val="595959"/>
          <w:sz w:val="14"/>
          <w:szCs w:val="14"/>
        </w:rPr>
        <w:t xml:space="preserve">FY22–FY26 actuals: S&amp;P Global Market Intelligence (consolidated, GAAP); FY27E–FY28E: S&amp;P Global consensus (35–36 analysts). FCF = operating cash flow less capex. FY26 dividend of Rs 12.00 reflects the announced cut; FY27–28 DPS per consensus.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1F3864"/>
          <w:sz w:val="19"/>
          <w:szCs w:val="19"/>
        </w:rPr>
        <w:t xml:space="preserve">Quarterly trend — the margin story in five quarters (consolidated, Rs cr)</w:t>
      </w:r>
    </w:p>
    <w:tbl>
      <w:tblPr>
        <w:tblW w:type="pct" w:w="100%"/>
        <w:tblBorders>
          <w:top w:val="single" w:color="BFBFBF" w:sz="2"/>
          <w:left w:val="none" w:color="FFFFFF" w:sz="0"/>
          <w:bottom w:val="single" w:color="BFBFBF" w:sz="2"/>
          <w:right w:val="none" w:color="FFFFFF" w:sz="0"/>
          <w:insideH w:val="single" w:color="BFBFBF" w:sz="2"/>
          <w:insideV w:val="none" w:color="FFFFFF" w:sz="0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0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Quarter</w:t>
            </w:r>
          </w:p>
        </w:tc>
        <w:tc>
          <w:tcPr>
            <w:tcW w:type="pct" w:w="16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Revenue</w:t>
            </w:r>
          </w:p>
        </w:tc>
        <w:tc>
          <w:tcPr>
            <w:tcW w:type="pct" w:w="16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OPM</w:t>
            </w:r>
          </w:p>
        </w:tc>
        <w:tc>
          <w:tcPr>
            <w:tcW w:type="pct" w:w="24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y/y revenue growth</w:t>
            </w:r>
          </w:p>
        </w:tc>
        <w:tc>
          <w:tcPr>
            <w:tcW w:type="pct" w:w="24%"/>
            <w:shd w:fill="1F386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Note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Q1FY26 (Jun-25)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5,096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21%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+6%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Soft base; demand tepid</w:t>
            </w:r>
          </w:p>
        </w:tc>
      </w:tr>
      <w:tr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Q2FY26 (Sep-25)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5,644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22%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+18%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Pricing-led recovery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Q3FY26 (Dec-25)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5,667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21%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+18.6%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Profit +46% on low base</w:t>
            </w:r>
          </w:p>
        </w:tc>
      </w:tr>
      <w:tr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Q4FY26 (Mar-26)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6,748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26%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+19%</w:t>
            </w:r>
          </w:p>
        </w:tc>
        <w:tc>
          <w:tcPr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Peak-margin quarter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Q1FY27 (Jun-26)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6,378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24%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+25%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Profit +48%; but -6.4% q/q revenue, -200bps q/q OPM</w:t>
            </w:r>
          </w:p>
        </w:tc>
      </w:tr>
    </w:tbl>
    <w:p>
      <w:pPr>
        <w:spacing w:after="200" w:before="40"/>
      </w:pPr>
      <w:r>
        <w:rPr>
          <w:rFonts w:ascii="Arial" w:cs="Arial" w:eastAsia="Arial" w:hAnsi="Arial"/>
          <w:i/>
          <w:iCs/>
          <w:color w:val="595959"/>
          <w:sz w:val="14"/>
          <w:szCs w:val="14"/>
        </w:rPr>
        <w:t xml:space="preserve">Source: company filings via Screener.in (consolidated). Profit = consolidated net profit.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F3864"/>
          <w:sz w:val="18"/>
          <w:szCs w:val="18"/>
        </w:rPr>
        <w:t xml:space="preserve">Ownership (Jun 2026): </w:t>
      </w:r>
      <w:r>
        <w:rPr>
          <w:rFonts w:ascii="Arial" w:cs="Arial" w:eastAsia="Arial" w:hAnsi="Arial"/>
          <w:color w:val="111111"/>
          <w:sz w:val="18"/>
          <w:szCs w:val="18"/>
        </w:rPr>
        <w:t xml:space="preserve">Nestlé S.A. 62.76%  |  FII/FPI 10.30% (down from 12.1% y/y)  |  DII 11.89% (up)  |  Public 15.04%  |  ~1.93bn shares outstanding post 1:5 split (Jan 2024).</w:t>
      </w:r>
    </w:p>
    <w:p>
      <w:pPr>
        <w:pBdr>
          <w:bottom w:val="single" w:color="1F3864" w:sz="6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Important Disclosures and Analyst Certification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A61C1C"/>
          <w:sz w:val="18"/>
          <w:szCs w:val="18"/>
        </w:rPr>
        <w:t xml:space="preserve">STATUS OF THIS DOCUMENT: </w:t>
      </w:r>
      <w:r>
        <w:rPr>
          <w:rFonts w:ascii="Arial" w:cs="Arial" w:eastAsia="Arial" w:hAnsi="Arial"/>
          <w:color w:val="111111"/>
          <w:sz w:val="18"/>
          <w:szCs w:val="18"/>
        </w:rPr>
        <w:t xml:space="preserve">This report is an independent, illustrative research exercise prepared at the user's request in the visual and structural style of a J.P. Morgan equity research note. It is NOT a publication of J.P. Morgan or its affiliates. Notably, the actual published J.P. Morgan view on Nestlé India (analyst Latika Chopra, as of Jul 23, 2026) is Buy with a Rs 1,620 price target; the Underweight stance expressed here is contrary to that published view and reflects only the requested bearish scenario analysis.</w:t>
      </w:r>
    </w:p>
    <w:p>
      <w:pPr>
        <w:spacing w:after="120"/>
      </w:pPr>
      <w:r>
        <w:rPr>
          <w:rFonts w:ascii="Arial" w:cs="Arial" w:eastAsia="Arial" w:hAnsi="Arial"/>
          <w:color w:val="111111"/>
          <w:sz w:val="18"/>
          <w:szCs w:val="18"/>
        </w:rPr>
        <w:t xml:space="preserve">Analyst certification (adapted): The views expressed in this report accurately reflect the analysis performed on the cited public data, and no part of any compensation was tied to the specific recommendation expressed.</w:t>
      </w:r>
    </w:p>
    <w:p>
      <w:pPr>
        <w:spacing w:after="120"/>
      </w:pPr>
      <w:r>
        <w:rPr>
          <w:rFonts w:ascii="Arial" w:cs="Arial" w:eastAsia="Arial" w:hAnsi="Arial"/>
          <w:color w:val="111111"/>
          <w:sz w:val="18"/>
          <w:szCs w:val="18"/>
        </w:rPr>
        <w:t xml:space="preserve">Data sources: S&amp;P Global Market Intelligence, TipRanks, Screener.in (C-MOTS), TradingEconomics, company filings and exchange announcements. Prices as of August 27, 2026 close (NSE). All figures INR unless stated; consolidated basis, fiscal year April–March. Ratings distribution: 36 analysts — 9 Strong Buy, 10 Buy, 12 Hold, 4 Sell, 1 Strong Sell; consensus 12-month target Rs 1,592 (S&amp;P Global, Jul 23, 2026).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95959"/>
          <w:sz w:val="15"/>
          <w:szCs w:val="15"/>
        </w:rPr>
        <w:t xml:space="preserve">This document is for informational purposes only and does not constitute investment advice, an offer, or a solicitation. Illustrative estimates and price targets are hypothetical. Do your own diligence.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3864" w:sz="4"/>
      </w:pBdr>
      <w:spacing w:before="60"/>
    </w:pPr>
    <w:r>
      <w:rPr>
        <w:rFonts w:ascii="Arial" w:cs="Arial" w:eastAsia="Arial" w:hAnsi="Arial"/>
        <w:color w:val="595959"/>
        <w:sz w:val="14"/>
        <w:szCs w:val="14"/>
      </w:rPr>
      <w:t xml:space="preserve">Illustrative exercise — not a J.P. Morgan publication. Not investment advice.</w:t>
    </w:r>
    <w:r>
      <w:rPr>
        <w:rFonts w:ascii="Arial" w:cs="Arial" w:eastAsia="Arial" w:hAnsi="Arial"/>
        <w:color w:val="595959"/>
        <w:sz w:val="14"/>
        <w:szCs w:val="14"/>
      </w:rPr>
      <w:t xml:space="preserve">        Page </w:t>
    </w:r>
    <w:r>
      <w:rPr>
        <w:rFonts w:ascii="Arial" w:cs="Arial" w:eastAsia="Arial" w:hAnsi="Arial"/>
        <w:color w:val="595959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3864" w:sz="4"/>
      </w:pBdr>
      <w:spacing w:after="60"/>
    </w:pPr>
    <w:r>
      <w:rPr>
        <w:rFonts w:ascii="Arial" w:cs="Arial" w:eastAsia="Arial" w:hAnsi="Arial"/>
        <w:b/>
        <w:bCs/>
        <w:color w:val="1F3864"/>
        <w:sz w:val="15"/>
        <w:szCs w:val="15"/>
      </w:rPr>
      <w:t xml:space="preserve">J.P. MORGAN STYLE REPLICATION</w:t>
    </w:r>
    <w:r>
      <w:rPr>
        <w:rFonts w:ascii="Arial" w:cs="Arial" w:eastAsia="Arial" w:hAnsi="Arial"/>
        <w:color w:val="595959"/>
        <w:sz w:val="15"/>
        <w:szCs w:val="15"/>
      </w:rPr>
      <w:t xml:space="preserve">   |   Nestlé India Ltd. (NESTLEIND.NS)   |   Underweight   |   PT Rs 1,150   |   28 Aug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2026-08-27T23:58:44.377Z</dcterms:created>
  <dcterms:modified xsi:type="dcterms:W3CDTF">2026-08-27T23:58:44.378Z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